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Arial"/>
          <w:kern w:val="0"/>
          <w:szCs w:val="32"/>
        </w:rPr>
      </w:pPr>
    </w:p>
    <w:p>
      <w:pPr>
        <w:rPr>
          <w:rFonts w:hint="eastAsia" w:ascii="宋体" w:hAnsi="宋体" w:eastAsia="宋体" w:cs="Arial"/>
          <w:kern w:val="0"/>
          <w:szCs w:val="32"/>
        </w:rPr>
      </w:pPr>
    </w:p>
    <w:p>
      <w:pPr>
        <w:jc w:val="center"/>
        <w:rPr>
          <w:rFonts w:ascii="宋体" w:hAnsi="宋体" w:eastAsia="宋体" w:cs="Arial"/>
          <w:bCs/>
          <w:sz w:val="44"/>
          <w:szCs w:val="44"/>
        </w:rPr>
      </w:pPr>
      <w:bookmarkStart w:id="0" w:name="Title"/>
      <w:r>
        <w:rPr>
          <w:rFonts w:ascii="宋体" w:hAnsi="宋体" w:eastAsia="宋体" w:cs="Arial"/>
          <w:bCs/>
          <w:sz w:val="44"/>
          <w:szCs w:val="44"/>
        </w:rPr>
        <w:t>全国人民代表大会常务</w:t>
      </w:r>
      <w:bookmarkStart w:id="3" w:name="_GoBack"/>
      <w:bookmarkEnd w:id="3"/>
      <w:r>
        <w:rPr>
          <w:rFonts w:ascii="宋体" w:hAnsi="宋体" w:eastAsia="宋体" w:cs="Arial"/>
          <w:bCs/>
          <w:sz w:val="44"/>
          <w:szCs w:val="44"/>
        </w:rPr>
        <w:t>委员会关于深化国防</w:t>
      </w:r>
    </w:p>
    <w:p>
      <w:pPr>
        <w:jc w:val="center"/>
        <w:rPr>
          <w:rFonts w:ascii="宋体" w:hAnsi="宋体" w:eastAsia="宋体" w:cs="Arial"/>
          <w:bCs/>
          <w:sz w:val="44"/>
          <w:szCs w:val="44"/>
        </w:rPr>
      </w:pPr>
      <w:r>
        <w:rPr>
          <w:rFonts w:ascii="宋体" w:hAnsi="宋体" w:eastAsia="宋体" w:cs="Arial"/>
          <w:bCs/>
          <w:sz w:val="44"/>
          <w:szCs w:val="44"/>
        </w:rPr>
        <w:t>动员体制改革期间暂时调整适用相关</w:t>
      </w:r>
    </w:p>
    <w:p>
      <w:pPr>
        <w:jc w:val="center"/>
        <w:rPr>
          <w:rFonts w:ascii="宋体" w:hAnsi="宋体" w:eastAsia="宋体" w:cs="Arial"/>
          <w:bCs/>
          <w:sz w:val="44"/>
          <w:szCs w:val="44"/>
        </w:rPr>
      </w:pPr>
      <w:r>
        <w:rPr>
          <w:rFonts w:ascii="宋体" w:hAnsi="宋体" w:eastAsia="宋体" w:cs="Arial"/>
          <w:bCs/>
          <w:sz w:val="44"/>
          <w:szCs w:val="44"/>
        </w:rPr>
        <w:t>法律规定的决定</w:t>
      </w:r>
      <w:bookmarkEnd w:id="0"/>
    </w:p>
    <w:p>
      <w:pPr>
        <w:ind w:left="632" w:leftChars="200" w:right="632" w:rightChars="200"/>
        <w:rPr>
          <w:rFonts w:ascii="宋体" w:hAnsi="宋体" w:eastAsia="宋体" w:cs="Arial"/>
          <w:bCs/>
          <w:szCs w:val="32"/>
        </w:rPr>
      </w:pPr>
      <w:bookmarkStart w:id="1" w:name="AddRun"/>
    </w:p>
    <w:bookmarkEnd w:id="1"/>
    <w:p>
      <w:pPr>
        <w:ind w:left="632" w:leftChars="200" w:right="632" w:rightChars="200"/>
        <w:rPr>
          <w:rFonts w:hint="eastAsia" w:ascii="宋体" w:hAnsi="宋体" w:eastAsia="宋体" w:cs="Arial"/>
          <w:bCs/>
          <w:szCs w:val="32"/>
        </w:rPr>
      </w:pPr>
      <w:bookmarkStart w:id="2" w:name="TitleDescription"/>
      <w:r>
        <w:rPr>
          <w:rFonts w:hint="eastAsia" w:ascii="楷体_GB2312" w:hAnsi="Arial" w:eastAsia="楷体_GB2312" w:cs="Arial"/>
          <w:szCs w:val="32"/>
        </w:rPr>
        <w:t>（</w:t>
      </w:r>
      <w:r>
        <w:rPr>
          <w:rFonts w:hint="default" w:ascii="Times New Roman" w:hAnsi="Times New Roman" w:eastAsia="楷体_GB2312" w:cs="Times New Roman"/>
          <w:szCs w:val="32"/>
        </w:rPr>
        <w:t>2021</w:t>
      </w:r>
      <w:r>
        <w:rPr>
          <w:rFonts w:hint="eastAsia" w:ascii="楷体_GB2312" w:hAnsi="Arial" w:eastAsia="楷体_GB2312" w:cs="Arial"/>
          <w:szCs w:val="32"/>
        </w:rPr>
        <w:t>年</w:t>
      </w:r>
      <w:r>
        <w:rPr>
          <w:rFonts w:hint="default" w:ascii="Times New Roman" w:hAnsi="Times New Roman" w:eastAsia="楷体_GB2312" w:cs="Times New Roman"/>
          <w:szCs w:val="32"/>
        </w:rPr>
        <w:t>10</w:t>
      </w:r>
      <w:r>
        <w:rPr>
          <w:rFonts w:hint="eastAsia" w:ascii="楷体_GB2312" w:hAnsi="Arial" w:eastAsia="楷体_GB2312" w:cs="Arial"/>
          <w:szCs w:val="32"/>
        </w:rPr>
        <w:t>月</w:t>
      </w:r>
      <w:r>
        <w:rPr>
          <w:rFonts w:hint="default" w:ascii="Times New Roman" w:hAnsi="Times New Roman" w:eastAsia="楷体_GB2312" w:cs="Times New Roman"/>
          <w:szCs w:val="32"/>
        </w:rPr>
        <w:t>23</w:t>
      </w:r>
      <w:r>
        <w:rPr>
          <w:rFonts w:hint="eastAsia" w:ascii="楷体_GB2312" w:hAnsi="Arial" w:eastAsia="楷体_GB2312" w:cs="Arial"/>
          <w:szCs w:val="32"/>
        </w:rPr>
        <w:t>日第十三届全国人民代表大会常务委员会第三十一次会议通过）</w:t>
      </w:r>
      <w:bookmarkEnd w:id="2"/>
    </w:p>
    <w:p>
      <w:pPr>
        <w:spacing w:line="240" w:lineRule="auto"/>
        <w:ind w:firstLine="0"/>
        <w:jc w:val="both"/>
        <w:rPr>
          <w:rFonts w:hint="eastAsia" w:ascii="宋体" w:hAnsi="宋体" w:eastAsia="宋体" w:cs="宋体"/>
        </w:rPr>
      </w:pPr>
    </w:p>
    <w:p>
      <w:pPr>
        <w:spacing w:line="240" w:lineRule="auto"/>
        <w:ind w:firstLine="640"/>
        <w:jc w:val="both"/>
      </w:pPr>
      <w:r>
        <w:rPr>
          <w:rFonts w:ascii="仿宋_GB2312" w:hAnsi="仿宋_GB2312" w:eastAsia="仿宋_GB2312" w:cs="仿宋_GB2312"/>
          <w:sz w:val="32"/>
        </w:rPr>
        <w:t>为了深入贯彻党中央关于深化国防动员体制改革的决策部署，依据宪法和《中华人民共和国国防法》，第十三届全国人民代表大会常务委员会第三十一次会议决定：深化国防动员体制改革期间，暂时调整适用《中华人民共和国国防动员法》、《中华人民共和国人民防空法》、《中华人民共和国国防交通法》、《中华人民共和国国防教育法》中有关国防动员以及人民武装动员、经济动员、人民防空、交通战备、国防教育的领导管理体制、军地职能配置、工作机构设置和国防动员资源指挥运用的规定。具体办法按照党中央的有关决定、国务院和中央军事委员会的有关规定执行。改革措施成熟后，及时修改完善有关法律。</w:t>
      </w:r>
    </w:p>
    <w:p>
      <w:pPr>
        <w:spacing w:line="240" w:lineRule="auto"/>
        <w:ind w:firstLine="640"/>
        <w:jc w:val="both"/>
      </w:pPr>
      <w:r>
        <w:rPr>
          <w:rFonts w:ascii="仿宋_GB2312" w:hAnsi="仿宋_GB2312" w:eastAsia="仿宋_GB2312" w:cs="仿宋_GB2312"/>
          <w:sz w:val="32"/>
        </w:rPr>
        <w:t>本决定自</w:t>
      </w:r>
      <w:r>
        <w:rPr>
          <w:rFonts w:hint="default" w:ascii="Times New Roman" w:hAnsi="Times New Roman" w:eastAsia="仿宋_GB2312" w:cs="Times New Roman"/>
          <w:sz w:val="32"/>
        </w:rPr>
        <w:t>2021</w:t>
      </w:r>
      <w:r>
        <w:rPr>
          <w:rFonts w:ascii="仿宋_GB2312" w:hAnsi="仿宋_GB2312" w:eastAsia="仿宋_GB2312" w:cs="仿宋_GB2312"/>
          <w:sz w:val="32"/>
        </w:rPr>
        <w:t>年</w:t>
      </w:r>
      <w:r>
        <w:rPr>
          <w:rFonts w:hint="default" w:ascii="Times New Roman" w:hAnsi="Times New Roman" w:eastAsia="仿宋_GB2312" w:cs="Times New Roman"/>
          <w:sz w:val="32"/>
        </w:rPr>
        <w:t>10</w:t>
      </w:r>
      <w:r>
        <w:rPr>
          <w:rFonts w:ascii="仿宋_GB2312" w:hAnsi="仿宋_GB2312" w:eastAsia="仿宋_GB2312" w:cs="仿宋_GB2312"/>
          <w:sz w:val="32"/>
        </w:rPr>
        <w:t>月</w:t>
      </w:r>
      <w:r>
        <w:rPr>
          <w:rFonts w:hint="default" w:ascii="Times New Roman" w:hAnsi="Times New Roman" w:eastAsia="仿宋_GB2312" w:cs="Times New Roman"/>
          <w:sz w:val="32"/>
        </w:rPr>
        <w:t>24</w:t>
      </w:r>
      <w:r>
        <w:rPr>
          <w:rFonts w:ascii="仿宋_GB2312" w:hAnsi="仿宋_GB2312" w:eastAsia="仿宋_GB2312" w:cs="仿宋_GB2312"/>
          <w:sz w:val="32"/>
        </w:rPr>
        <w:t>日起施行。</w:t>
      </w:r>
    </w:p>
    <w:sectPr>
      <w:footerReference r:id="rId3" w:type="default"/>
      <w:footerReference r:id="rId4" w:type="even"/>
      <w:pgSz w:w="11906" w:h="16838"/>
      <w:pgMar w:top="2098" w:right="1474" w:bottom="1985" w:left="1588" w:header="851" w:footer="397" w:gutter="0"/>
      <w:cols w:space="425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wordWrap w:val="0"/>
      <w:jc w:val="right"/>
      <w:rPr>
        <w:rFonts w:hint="eastAsia" w:eastAsia="宋体"/>
        <w:lang w:eastAsia="zh-CN"/>
      </w:rPr>
    </w:pPr>
    <w:r>
      <w:rPr>
        <w:rFonts w:hint="eastAsia" w:ascii="宋体" w:hAnsi="宋体" w:eastAsia="宋体"/>
        <w:sz w:val="28"/>
        <w:szCs w:val="28"/>
      </w:rPr>
      <w:t>－</w:t>
    </w: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1</w:t>
    </w:r>
    <w:r>
      <w:rPr>
        <w:rFonts w:ascii="宋体" w:hAnsi="宋体" w:eastAsia="宋体"/>
        <w:sz w:val="28"/>
        <w:szCs w:val="28"/>
      </w:rPr>
      <w:fldChar w:fldCharType="end"/>
    </w:r>
    <w:r>
      <w:rPr>
        <w:rFonts w:hint="eastAsia" w:ascii="宋体" w:hAnsi="宋体" w:eastAsia="宋体"/>
        <w:sz w:val="28"/>
        <w:szCs w:val="28"/>
      </w:rPr>
      <w:t>－</w:t>
    </w:r>
    <w:r>
      <w:rPr>
        <w:rFonts w:hint="eastAsia" w:ascii="宋体" w:hAnsi="宋体" w:eastAsia="宋体"/>
        <w:sz w:val="28"/>
        <w:szCs w:val="28"/>
        <w:lang w:eastAsia="zh-CN"/>
      </w:rPr>
      <w:t>　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140" w:firstLineChars="50"/>
      <w:rPr>
        <w:rFonts w:hint="eastAsia" w:ascii="宋体" w:hAnsi="宋体" w:eastAsia="宋体"/>
        <w:sz w:val="28"/>
        <w:szCs w:val="28"/>
      </w:rPr>
    </w:pPr>
    <w:r>
      <w:rPr>
        <w:rFonts w:hint="eastAsia" w:ascii="宋体" w:hAnsi="宋体" w:eastAsia="宋体"/>
        <w:sz w:val="28"/>
        <w:szCs w:val="28"/>
      </w:rPr>
      <w:t>－</w:t>
    </w: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2</w:t>
    </w:r>
    <w:r>
      <w:rPr>
        <w:rFonts w:ascii="宋体" w:hAnsi="宋体" w:eastAsia="宋体"/>
        <w:sz w:val="28"/>
        <w:szCs w:val="28"/>
      </w:rPr>
      <w:fldChar w:fldCharType="end"/>
    </w:r>
    <w:r>
      <w:rPr>
        <w:rFonts w:hint="eastAsia" w:ascii="宋体" w:hAnsi="宋体" w:eastAsia="宋体"/>
        <w:sz w:val="28"/>
        <w:szCs w:val="28"/>
      </w:rPr>
      <w:t>－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NotTrackMoves/>
  <w:documentProtection w:enforcement="0"/>
  <w:defaultTabStop w:val="420"/>
  <w:evenAndOddHeaders w:val="1"/>
  <w:drawingGridHorizontalSpacing w:val="158"/>
  <w:drawingGridVerticalSpacing w:val="579"/>
  <w:displayHorizontalDrawingGridEvery w:val="0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E703F"/>
    <w:rsid w:val="00005CBA"/>
    <w:rsid w:val="00067A46"/>
    <w:rsid w:val="000B3473"/>
    <w:rsid w:val="000D062B"/>
    <w:rsid w:val="000F0A3D"/>
    <w:rsid w:val="000F7DA8"/>
    <w:rsid w:val="00131BA9"/>
    <w:rsid w:val="0013352A"/>
    <w:rsid w:val="00140A15"/>
    <w:rsid w:val="0016100C"/>
    <w:rsid w:val="00166DBD"/>
    <w:rsid w:val="00194C5F"/>
    <w:rsid w:val="001D56C5"/>
    <w:rsid w:val="001E2980"/>
    <w:rsid w:val="00226845"/>
    <w:rsid w:val="002434D9"/>
    <w:rsid w:val="002447F6"/>
    <w:rsid w:val="00247B39"/>
    <w:rsid w:val="00265F71"/>
    <w:rsid w:val="002E3D11"/>
    <w:rsid w:val="002F77E5"/>
    <w:rsid w:val="00307CD3"/>
    <w:rsid w:val="00315BE5"/>
    <w:rsid w:val="00353AD7"/>
    <w:rsid w:val="003A0332"/>
    <w:rsid w:val="003F636B"/>
    <w:rsid w:val="0044207F"/>
    <w:rsid w:val="0048283C"/>
    <w:rsid w:val="004D5710"/>
    <w:rsid w:val="004F542C"/>
    <w:rsid w:val="00550A4A"/>
    <w:rsid w:val="005667BC"/>
    <w:rsid w:val="005A4A7E"/>
    <w:rsid w:val="005C49EF"/>
    <w:rsid w:val="005F0A94"/>
    <w:rsid w:val="00610663"/>
    <w:rsid w:val="00616EB4"/>
    <w:rsid w:val="006A6786"/>
    <w:rsid w:val="006B2EDC"/>
    <w:rsid w:val="006C7885"/>
    <w:rsid w:val="006D3381"/>
    <w:rsid w:val="006E600C"/>
    <w:rsid w:val="00785C4E"/>
    <w:rsid w:val="007A6644"/>
    <w:rsid w:val="0082159D"/>
    <w:rsid w:val="00834B22"/>
    <w:rsid w:val="008351B6"/>
    <w:rsid w:val="008503CF"/>
    <w:rsid w:val="00867A37"/>
    <w:rsid w:val="008A10A6"/>
    <w:rsid w:val="008D32FC"/>
    <w:rsid w:val="00937399"/>
    <w:rsid w:val="009D4E62"/>
    <w:rsid w:val="00A07177"/>
    <w:rsid w:val="00A87604"/>
    <w:rsid w:val="00B12059"/>
    <w:rsid w:val="00B32293"/>
    <w:rsid w:val="00B718F5"/>
    <w:rsid w:val="00B90B92"/>
    <w:rsid w:val="00BB0938"/>
    <w:rsid w:val="00BB259A"/>
    <w:rsid w:val="00BC1DEF"/>
    <w:rsid w:val="00BC4088"/>
    <w:rsid w:val="00BF378A"/>
    <w:rsid w:val="00BF513D"/>
    <w:rsid w:val="00C16EFC"/>
    <w:rsid w:val="00C97FAE"/>
    <w:rsid w:val="00CC1CE5"/>
    <w:rsid w:val="00CC393A"/>
    <w:rsid w:val="00D0095F"/>
    <w:rsid w:val="00D50578"/>
    <w:rsid w:val="00D625F1"/>
    <w:rsid w:val="00D64B65"/>
    <w:rsid w:val="00D677FE"/>
    <w:rsid w:val="00DB69C0"/>
    <w:rsid w:val="00DB7DE9"/>
    <w:rsid w:val="00DC4D4C"/>
    <w:rsid w:val="00DD7D16"/>
    <w:rsid w:val="00EA2922"/>
    <w:rsid w:val="00ED7C16"/>
    <w:rsid w:val="00EE2B0F"/>
    <w:rsid w:val="00EE52D1"/>
    <w:rsid w:val="00F352BC"/>
    <w:rsid w:val="00F4604E"/>
    <w:rsid w:val="00F53731"/>
    <w:rsid w:val="00F72984"/>
    <w:rsid w:val="00F7674E"/>
    <w:rsid w:val="00F97604"/>
    <w:rsid w:val="00FA7EE2"/>
    <w:rsid w:val="00FD0030"/>
    <w:rsid w:val="0D593E2B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 m:val="1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semiHidden/>
    <w:unhideWhenUsed/>
    <w:qFormat/>
    <w:uiPriority w:val="99"/>
    <w:rPr>
      <w:color w:val="954F72"/>
      <w:u w:val="single"/>
    </w:rPr>
  </w:style>
  <w:style w:type="character" w:styleId="7">
    <w:name w:val="Hyperlink"/>
    <w:qFormat/>
    <w:uiPriority w:val="99"/>
    <w:rPr>
      <w:rFonts w:hint="default" w:ascii="ˎ̥" w:hAnsi="ˎ̥"/>
      <w:color w:val="0404B3"/>
      <w:sz w:val="18"/>
      <w:szCs w:val="18"/>
      <w:u w:val="none"/>
    </w:rPr>
  </w:style>
  <w:style w:type="character" w:customStyle="1" w:styleId="8">
    <w:name w:val="页眉 字符"/>
    <w:link w:val="3"/>
    <w:qFormat/>
    <w:uiPriority w:val="99"/>
    <w:rPr>
      <w:sz w:val="18"/>
      <w:szCs w:val="18"/>
    </w:rPr>
  </w:style>
  <w:style w:type="character" w:customStyle="1" w:styleId="9">
    <w:name w:val="页脚 字符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18310C3-B722-4579-B2B8-B4636D6515F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</Words>
  <Characters>47</Characters>
  <Lines>1</Lines>
  <Paragraphs>1</Paragraphs>
  <TotalTime>18</TotalTime>
  <ScaleCrop>false</ScaleCrop>
  <LinksUpToDate>false</LinksUpToDate>
  <CharactersWithSpaces>54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2017-11-15T02:33:00Z</dcterms:created>
  <dc:creator>YF-INT6</dc:creator>
  <cp:lastModifiedBy>HP</cp:lastModifiedBy>
  <dcterms:modified xsi:type="dcterms:W3CDTF">2021-10-23T09:41:14Z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A33F538B6A04413289AE804D944A8ED7</vt:lpwstr>
  </property>
</Properties>
</file>